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中国智慧教学研究十三五规划科研项目选题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智慧学校创建研究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基于移动终端的智慧校园平台设计研究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基于“教育云”理念的普通中学智慧校园建设的研究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基于云教学平台的混合式教学的实验与研究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教育信息化区域推进与区域协作研究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小学校际数字化教学资源的开发、融合与应用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本土化教育教学资源的共建共享及应用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信息技术与基础教育教学深度融合研究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智慧校园中一卡通建设与管理评价体系研究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智慧校园中校园社交网络的交流协作模型与集成模式研究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fldChar w:fldCharType="begin"/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instrText xml:space="preserve"> HYPERLINK "http://kt.hner.cn/getProjectContent?projectAppId=1930" </w:instrTex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fldChar w:fldCharType="separate"/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信息技术环境下教师信息素养与技能研究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fldChar w:fldCharType="end"/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基础教育信息化发展战略研究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教育信息化区域协同创新研究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数字教育资源的建设与应用研究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基于移动学习终端的资源开发及应用研究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交互式电子白板在学校教育教学中的应用研究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创客与STEAM教育应用研究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基于无线互联网的智慧校园建设与运用研究； 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智慧校园应用效果评价研究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中小学智慧学校建设的设计及实施方法研究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云计算环境下区域智慧校园建设策略与协同机制研究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21、自媒体时代下,学校管理与教育教学新模式研究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22、优化课堂教学管理，促进信息技术课堂高效的实践与研究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23、校长信息化领导力研究</w:t>
      </w:r>
    </w:p>
    <w:p>
      <w:pPr>
        <w:numPr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24、信息化环境下教育管理者领导力的实践与研究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智慧课堂建设研究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深化教学改革 打造智慧课堂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基于智慧教室环境的互动教学研究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远程同步互动课堂，共享优质教育资源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信息技术环境下的课堂互动教学研究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信息技术环境下提高语文课堂教学效率的实践研究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信息技术环境下的农村中学课堂教学研究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高中数学概念教学“智慧+”课堂模式实践研究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小学信息技术“智慧课堂”教学模式的实践研究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基于翻转课堂的走班教学实践研究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翻转课堂教学模式在中职专业课程中的应用与效果研究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翻转课堂教学模式在中学课程中的应用研究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12、翻转课堂教学模式在小学课程中的应用研究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13、翻转课堂复习课的策略研究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14、农村学校信息技术课翻转课堂的模式与应用效果研究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15、基于翻转课堂的初中物理实验教学模式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16、初中（各学科）翻转课堂的模式与应用效果研究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17、基于一对一环境的小学翻转课堂教学生态与模型的建构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18、小学（各学科）翻转课堂的模式与应用效果研究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19、翻转课堂视域下学习任务单的设计研究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20、在小组学习中（各学科）智慧课堂模式的研究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21、基于现代智慧课堂环境下高效课堂的教学策略和方法的研究</w:t>
      </w: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智慧教学研究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智慧型课堂教学的研究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中学信息技术微课程资源开发与应用的适切性研究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微课在教学中有效应用的实践研究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同步教材微课设计、制作及运用研究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在移动网络环境下的信息技术网络微课程建设与应用研究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微课在各学科教学中的设计、制作与使用研究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在信息技术教学环境下教学策略的研究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基于微课翻转通用技术课堂的应用研究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信息技术环境下和谐教学范式研究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大数据支持的高中学科教学实践研究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信息技术环境下翻转课堂的模式与应用效果研究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基于微课的初中机器人翻转课堂模式与应用效果研究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智慧教室环境下的高中创新教学模式研究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信息技术环境下“智教慧学，情智共生”的教学策略研究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基于“创生活动”的智慧数学课堂的实践研究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智慧学习研究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运用网络在线课程改善中职教学方式的实践与研究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运用网络在线课程改善中小学教学方式的实践与研究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信息技术环境下学与教的理论与实践研究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信息技术课堂基于互联网学习资源的问题解决式学习研究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基于技术条件下信息技术体验式教学研究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基于手机App虚拟实验应用的小学科学实验教学实践研究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现代信息技术与小学语文阅读教学深度融合的实践研究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信息技术能力培训数字资源建设与应用研究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教师网络研修促进校本研修常态化研究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信息技术与学生学习方式转变的研究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信息技术条件下有效培养中学生自主学习能力的行动研究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信息技术环境下的“先学后教，自主探究”教学模式的研究</w:t>
      </w:r>
    </w:p>
    <w:sectPr>
      <w:pgSz w:w="11906" w:h="16838"/>
      <w:pgMar w:top="1440" w:right="1576" w:bottom="1440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5B1E9"/>
    <w:multiLevelType w:val="singleLevel"/>
    <w:tmpl w:val="5865B1E9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65B36D"/>
    <w:multiLevelType w:val="singleLevel"/>
    <w:tmpl w:val="5865B36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65B400"/>
    <w:multiLevelType w:val="singleLevel"/>
    <w:tmpl w:val="5865B400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865B4E5"/>
    <w:multiLevelType w:val="singleLevel"/>
    <w:tmpl w:val="5865B4E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865B6CA"/>
    <w:multiLevelType w:val="singleLevel"/>
    <w:tmpl w:val="5865B6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F5777"/>
    <w:rsid w:val="1FC77337"/>
    <w:rsid w:val="2B4F5777"/>
    <w:rsid w:val="3C907F56"/>
    <w:rsid w:val="763E7A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2016-12-30T00:56:00Z</dcterms:created>
  <dc:creator>rhb_2006</dc:creator>
  <cp:lastModifiedBy>rhb_2006</cp:lastModifiedBy>
  <dcterms:modified xsi:type="dcterms:W3CDTF">2017-04-26T10:46:58Z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